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583A" w14:textId="64EF8DBE" w:rsidR="00AB304C" w:rsidRPr="00367E7B" w:rsidRDefault="00AB304C" w:rsidP="00367E7B">
      <w:pPr>
        <w:jc w:val="center"/>
        <w:rPr>
          <w:rFonts w:cstheme="minorHAnsi"/>
          <w:b/>
          <w:sz w:val="24"/>
          <w:szCs w:val="24"/>
        </w:rPr>
      </w:pPr>
      <w:r w:rsidRPr="00367E7B">
        <w:rPr>
          <w:rFonts w:cstheme="minorHAnsi"/>
          <w:b/>
          <w:sz w:val="24"/>
          <w:szCs w:val="24"/>
        </w:rPr>
        <w:t>Procedur</w:t>
      </w:r>
      <w:r w:rsidR="00DC2052" w:rsidRPr="00367E7B">
        <w:rPr>
          <w:rFonts w:cstheme="minorHAnsi"/>
          <w:b/>
          <w:sz w:val="24"/>
          <w:szCs w:val="24"/>
        </w:rPr>
        <w:t>y</w:t>
      </w:r>
      <w:r w:rsidRPr="00367E7B">
        <w:rPr>
          <w:rFonts w:cstheme="minorHAnsi"/>
          <w:b/>
          <w:sz w:val="24"/>
          <w:szCs w:val="24"/>
        </w:rPr>
        <w:t xml:space="preserve"> wsparcia doktorantów z niepełnosprawnościami, trudnościami zdrowotnymi </w:t>
      </w:r>
      <w:r w:rsidR="00367E7B" w:rsidRPr="00367E7B">
        <w:rPr>
          <w:rFonts w:cstheme="minorHAnsi"/>
          <w:b/>
          <w:sz w:val="24"/>
          <w:szCs w:val="24"/>
        </w:rPr>
        <w:br/>
      </w:r>
      <w:r w:rsidRPr="00367E7B">
        <w:rPr>
          <w:rFonts w:cstheme="minorHAnsi"/>
          <w:b/>
          <w:sz w:val="24"/>
          <w:szCs w:val="24"/>
        </w:rPr>
        <w:t>i szczególnymi potrzebami na Uniwersytecie Warszawskim</w:t>
      </w:r>
    </w:p>
    <w:p w14:paraId="55AE2712" w14:textId="6A8DD23A" w:rsidR="00351888" w:rsidRPr="00367E7B" w:rsidRDefault="00B05BCC" w:rsidP="00367E7B">
      <w:pPr>
        <w:pStyle w:val="Akapitzlist"/>
        <w:numPr>
          <w:ilvl w:val="0"/>
          <w:numId w:val="2"/>
        </w:numPr>
        <w:spacing w:before="100" w:beforeAutospacing="1" w:after="120" w:line="360" w:lineRule="auto"/>
        <w:ind w:left="378" w:right="-284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 xml:space="preserve">Rolą </w:t>
      </w:r>
      <w:r w:rsidR="00351888" w:rsidRPr="00367E7B">
        <w:rPr>
          <w:rFonts w:eastAsia="Times New Roman" w:cstheme="minorHAnsi"/>
          <w:lang w:eastAsia="pl-PL"/>
        </w:rPr>
        <w:t xml:space="preserve">Biura ds. Osób z Niepełnosprawnościami (dalej BON), a w szczególności konsultantek </w:t>
      </w:r>
      <w:r w:rsidR="00367E7B" w:rsidRPr="00367E7B">
        <w:rPr>
          <w:rFonts w:eastAsia="Times New Roman" w:cstheme="minorHAnsi"/>
          <w:lang w:eastAsia="pl-PL"/>
        </w:rPr>
        <w:br/>
      </w:r>
      <w:r w:rsidR="00351888" w:rsidRPr="00367E7B">
        <w:rPr>
          <w:rFonts w:eastAsia="Times New Roman" w:cstheme="minorHAnsi"/>
          <w:lang w:eastAsia="pl-PL"/>
        </w:rPr>
        <w:t>ds. doktoranckich i dostępności badań (dalej Konsultantek) jest zapewni</w:t>
      </w:r>
      <w:r w:rsidR="00E51557" w:rsidRPr="00367E7B">
        <w:rPr>
          <w:rFonts w:eastAsia="Times New Roman" w:cstheme="minorHAnsi"/>
          <w:lang w:eastAsia="pl-PL"/>
        </w:rPr>
        <w:t xml:space="preserve">anie </w:t>
      </w:r>
      <w:r w:rsidR="00351888" w:rsidRPr="00367E7B">
        <w:rPr>
          <w:rFonts w:eastAsia="Times New Roman" w:cstheme="minorHAnsi"/>
          <w:lang w:eastAsia="pl-PL"/>
        </w:rPr>
        <w:t xml:space="preserve"> pełnej dostępności procesu</w:t>
      </w:r>
      <w:r w:rsidR="000630DF" w:rsidRPr="00367E7B">
        <w:rPr>
          <w:rFonts w:eastAsia="Times New Roman" w:cstheme="minorHAnsi"/>
          <w:lang w:eastAsia="pl-PL"/>
        </w:rPr>
        <w:t xml:space="preserve"> rekrutacyjnego i</w:t>
      </w:r>
      <w:r w:rsidR="00351888" w:rsidRPr="00367E7B">
        <w:rPr>
          <w:rFonts w:eastAsia="Times New Roman" w:cstheme="minorHAnsi"/>
          <w:lang w:eastAsia="pl-PL"/>
        </w:rPr>
        <w:t xml:space="preserve"> edukacyjnego doktorantów i doktorantek Szkół Doktorskich.</w:t>
      </w:r>
    </w:p>
    <w:p w14:paraId="1428A6C7" w14:textId="6827E946" w:rsidR="00072242" w:rsidRPr="00367E7B" w:rsidRDefault="00072242" w:rsidP="00367E7B">
      <w:pPr>
        <w:pStyle w:val="Akapitzlist"/>
        <w:numPr>
          <w:ilvl w:val="0"/>
          <w:numId w:val="2"/>
        </w:numPr>
        <w:spacing w:before="240" w:after="240" w:line="360" w:lineRule="auto"/>
        <w:ind w:left="378" w:right="-284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 xml:space="preserve">Wszystkie podejmowane działania mają na celu zwiększenie dostępności </w:t>
      </w:r>
      <w:r w:rsidR="00C43BBD" w:rsidRPr="00367E7B">
        <w:rPr>
          <w:rFonts w:eastAsia="Times New Roman" w:cstheme="minorHAnsi"/>
          <w:lang w:eastAsia="pl-PL"/>
        </w:rPr>
        <w:t>u</w:t>
      </w:r>
      <w:r w:rsidRPr="00367E7B">
        <w:rPr>
          <w:rFonts w:eastAsia="Times New Roman" w:cstheme="minorHAnsi"/>
          <w:lang w:eastAsia="pl-PL"/>
        </w:rPr>
        <w:t xml:space="preserve">czelni oraz dostosowanie oferty edukacyjnej Uniwersytetu do potrzeb </w:t>
      </w:r>
      <w:r w:rsidR="00AF009F" w:rsidRPr="00367E7B">
        <w:rPr>
          <w:rFonts w:eastAsia="Times New Roman" w:cstheme="minorHAnsi"/>
          <w:lang w:eastAsia="pl-PL"/>
        </w:rPr>
        <w:t>d</w:t>
      </w:r>
      <w:r w:rsidRPr="00367E7B">
        <w:rPr>
          <w:rFonts w:eastAsia="Times New Roman" w:cstheme="minorHAnsi"/>
          <w:lang w:eastAsia="pl-PL"/>
        </w:rPr>
        <w:t>oktorantów i doktorantek doświadczających problemów zdrowotnych przy zachowaniu wszelkich zasad równości</w:t>
      </w:r>
      <w:r w:rsidR="002251ED" w:rsidRPr="00367E7B">
        <w:rPr>
          <w:rFonts w:eastAsia="Times New Roman" w:cstheme="minorHAnsi"/>
          <w:lang w:eastAsia="pl-PL"/>
        </w:rPr>
        <w:t xml:space="preserve">, </w:t>
      </w:r>
      <w:r w:rsidRPr="00367E7B">
        <w:rPr>
          <w:rFonts w:eastAsia="Times New Roman" w:cstheme="minorHAnsi"/>
          <w:lang w:eastAsia="pl-PL"/>
        </w:rPr>
        <w:t>szans</w:t>
      </w:r>
      <w:r w:rsidR="002251ED" w:rsidRPr="00367E7B">
        <w:rPr>
          <w:rFonts w:eastAsia="Times New Roman" w:cstheme="minorHAnsi"/>
          <w:lang w:eastAsia="pl-PL"/>
        </w:rPr>
        <w:t xml:space="preserve"> i</w:t>
      </w:r>
      <w:r w:rsidRPr="00367E7B">
        <w:rPr>
          <w:rFonts w:eastAsia="Times New Roman" w:cstheme="minorHAnsi"/>
          <w:lang w:eastAsia="pl-PL"/>
        </w:rPr>
        <w:t xml:space="preserve"> płci. </w:t>
      </w:r>
    </w:p>
    <w:p w14:paraId="2E0CEA1C" w14:textId="75940FE4" w:rsidR="00351888" w:rsidRPr="00367E7B" w:rsidRDefault="00351888" w:rsidP="00367E7B">
      <w:pPr>
        <w:pStyle w:val="Akapitzlist"/>
        <w:numPr>
          <w:ilvl w:val="0"/>
          <w:numId w:val="2"/>
        </w:numPr>
        <w:spacing w:before="100" w:beforeAutospacing="1" w:after="120" w:line="360" w:lineRule="auto"/>
        <w:ind w:left="378" w:right="-284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Ze wsparcia BON oraz spotkań z konsultantkami mogą korzystać</w:t>
      </w:r>
      <w:r w:rsidR="00F01179" w:rsidRPr="00367E7B">
        <w:rPr>
          <w:rFonts w:eastAsia="Times New Roman" w:cstheme="minorHAnsi"/>
          <w:lang w:eastAsia="pl-PL"/>
        </w:rPr>
        <w:t xml:space="preserve"> kandydaci rekrutujący się do Szkół Doktorskich Uniwersytetu Warszawskiego oraz </w:t>
      </w:r>
      <w:r w:rsidR="005B4D56" w:rsidRPr="00367E7B">
        <w:rPr>
          <w:rFonts w:eastAsia="Times New Roman" w:cstheme="minorHAnsi"/>
          <w:lang w:eastAsia="pl-PL"/>
        </w:rPr>
        <w:t xml:space="preserve">doktoranci </w:t>
      </w:r>
      <w:r w:rsidR="00F01179" w:rsidRPr="00367E7B">
        <w:rPr>
          <w:rFonts w:eastAsia="Times New Roman" w:cstheme="minorHAnsi"/>
          <w:lang w:eastAsia="pl-PL"/>
        </w:rPr>
        <w:t xml:space="preserve">i </w:t>
      </w:r>
      <w:r w:rsidR="005B4D56" w:rsidRPr="00367E7B">
        <w:rPr>
          <w:rFonts w:eastAsia="Times New Roman" w:cstheme="minorHAnsi"/>
          <w:lang w:eastAsia="pl-PL"/>
        </w:rPr>
        <w:t>doktorantki wszystkich Szkół Doktorskich</w:t>
      </w:r>
      <w:r w:rsidR="00367E7B" w:rsidRPr="00367E7B">
        <w:rPr>
          <w:rFonts w:eastAsia="Times New Roman" w:cstheme="minorHAnsi"/>
          <w:lang w:eastAsia="pl-PL"/>
        </w:rPr>
        <w:t xml:space="preserve"> </w:t>
      </w:r>
      <w:r w:rsidR="005B4D56" w:rsidRPr="00367E7B">
        <w:rPr>
          <w:rFonts w:eastAsia="Times New Roman" w:cstheme="minorHAnsi"/>
          <w:lang w:eastAsia="pl-PL"/>
        </w:rPr>
        <w:t xml:space="preserve">– </w:t>
      </w:r>
      <w:proofErr w:type="spellStart"/>
      <w:r w:rsidR="005B4D56" w:rsidRPr="00367E7B">
        <w:rPr>
          <w:rFonts w:eastAsia="Times New Roman" w:cstheme="minorHAnsi"/>
          <w:lang w:eastAsia="pl-PL"/>
        </w:rPr>
        <w:t>Międzydziedzinowej</w:t>
      </w:r>
      <w:proofErr w:type="spellEnd"/>
      <w:r w:rsidR="005B4D56" w:rsidRPr="00367E7B">
        <w:rPr>
          <w:rFonts w:eastAsia="Times New Roman" w:cstheme="minorHAnsi"/>
          <w:lang w:eastAsia="pl-PL"/>
        </w:rPr>
        <w:t xml:space="preserve"> Szkoły Doktorskiej, Szkoły</w:t>
      </w:r>
      <w:r w:rsidR="00F01179" w:rsidRPr="00367E7B">
        <w:rPr>
          <w:rFonts w:eastAsia="Times New Roman" w:cstheme="minorHAnsi"/>
          <w:lang w:eastAsia="pl-PL"/>
        </w:rPr>
        <w:t xml:space="preserve"> D</w:t>
      </w:r>
      <w:r w:rsidR="005B4D56" w:rsidRPr="00367E7B">
        <w:rPr>
          <w:rFonts w:eastAsia="Times New Roman" w:cstheme="minorHAnsi"/>
          <w:lang w:eastAsia="pl-PL"/>
        </w:rPr>
        <w:t xml:space="preserve">oktorskiej Nauk Humanistycznych, Szkoły Doktorskiej Nauk Społecznych oraz Szkoły Doktorskiej Nauk Ścisłych i Przyrodniczych </w:t>
      </w:r>
      <w:r w:rsidR="00367E7B">
        <w:rPr>
          <w:rFonts w:eastAsia="Times New Roman" w:cstheme="minorHAnsi"/>
          <w:lang w:eastAsia="pl-PL"/>
        </w:rPr>
        <w:br/>
      </w:r>
      <w:r w:rsidR="005B4D56" w:rsidRPr="00367E7B">
        <w:rPr>
          <w:rFonts w:eastAsia="Times New Roman" w:cstheme="minorHAnsi"/>
          <w:lang w:eastAsia="pl-PL"/>
        </w:rPr>
        <w:t>z aktywnym statusem doktoranta.</w:t>
      </w:r>
    </w:p>
    <w:p w14:paraId="061FB978" w14:textId="69F8AA0A" w:rsidR="005B4D56" w:rsidRPr="00367E7B" w:rsidRDefault="005B4D56" w:rsidP="00367E7B">
      <w:pPr>
        <w:pStyle w:val="Akapitzlist"/>
        <w:numPr>
          <w:ilvl w:val="0"/>
          <w:numId w:val="2"/>
        </w:numPr>
        <w:spacing w:before="100" w:beforeAutospacing="1" w:after="120" w:line="360" w:lineRule="auto"/>
        <w:ind w:left="378" w:right="-284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Jako jednostka administracyjna Uniwersytetu</w:t>
      </w:r>
      <w:r w:rsidR="00367E7B" w:rsidRPr="00367E7B">
        <w:rPr>
          <w:rFonts w:eastAsia="Times New Roman" w:cstheme="minorHAnsi"/>
          <w:lang w:eastAsia="pl-PL"/>
        </w:rPr>
        <w:t xml:space="preserve"> Warszawskiego</w:t>
      </w:r>
      <w:r w:rsidRPr="00367E7B">
        <w:rPr>
          <w:rFonts w:eastAsia="Times New Roman" w:cstheme="minorHAnsi"/>
          <w:lang w:eastAsia="pl-PL"/>
        </w:rPr>
        <w:t xml:space="preserve"> </w:t>
      </w:r>
      <w:r w:rsidR="00367E7B">
        <w:rPr>
          <w:rFonts w:eastAsia="Times New Roman" w:cstheme="minorHAnsi"/>
          <w:lang w:eastAsia="pl-PL"/>
        </w:rPr>
        <w:t xml:space="preserve">– </w:t>
      </w:r>
      <w:r w:rsidRPr="00367E7B">
        <w:rPr>
          <w:rFonts w:eastAsia="Times New Roman" w:cstheme="minorHAnsi"/>
          <w:lang w:eastAsia="pl-PL"/>
        </w:rPr>
        <w:t xml:space="preserve">BON nie pośredniczy </w:t>
      </w:r>
      <w:r w:rsidR="00367E7B" w:rsidRPr="00367E7B">
        <w:rPr>
          <w:rFonts w:eastAsia="Times New Roman" w:cstheme="minorHAnsi"/>
          <w:lang w:eastAsia="pl-PL"/>
        </w:rPr>
        <w:br/>
      </w:r>
      <w:r w:rsidRPr="00367E7B">
        <w:rPr>
          <w:rFonts w:eastAsia="Times New Roman" w:cstheme="minorHAnsi"/>
          <w:lang w:eastAsia="pl-PL"/>
        </w:rPr>
        <w:t>w sprawach odwoławczych, wznowieniach ani kwestiach związanych z opłatami</w:t>
      </w:r>
      <w:r w:rsidR="00EC1BA6" w:rsidRPr="00367E7B">
        <w:rPr>
          <w:rFonts w:eastAsia="Times New Roman" w:cstheme="minorHAnsi"/>
          <w:lang w:eastAsia="pl-PL"/>
        </w:rPr>
        <w:t>.</w:t>
      </w:r>
    </w:p>
    <w:p w14:paraId="67689877" w14:textId="4F5538A2" w:rsidR="00EC1BA6" w:rsidRPr="00367E7B" w:rsidRDefault="00EC1BA6" w:rsidP="00367E7B">
      <w:pPr>
        <w:pStyle w:val="Akapitzlist"/>
        <w:numPr>
          <w:ilvl w:val="0"/>
          <w:numId w:val="2"/>
        </w:numPr>
        <w:spacing w:before="100" w:beforeAutospacing="1" w:after="120" w:line="360" w:lineRule="auto"/>
        <w:ind w:left="378" w:right="-284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O wsparcie BON w dostosowaniu procesu kształcenia i badań naukowych mogą ubiegać się doktoranci i doktorantki z niepełnosprawnościami, chorujący przewlekle, ze specyficznymi trudnościami w uczeniu się</w:t>
      </w:r>
      <w:r w:rsidR="002251ED" w:rsidRPr="00367E7B">
        <w:rPr>
          <w:rFonts w:eastAsia="Times New Roman" w:cstheme="minorHAnsi"/>
          <w:lang w:eastAsia="pl-PL"/>
        </w:rPr>
        <w:t>,</w:t>
      </w:r>
      <w:r w:rsidRPr="00367E7B">
        <w:rPr>
          <w:rFonts w:eastAsia="Times New Roman" w:cstheme="minorHAnsi"/>
          <w:lang w:eastAsia="pl-PL"/>
        </w:rPr>
        <w:t xml:space="preserve"> </w:t>
      </w:r>
      <w:proofErr w:type="spellStart"/>
      <w:r w:rsidRPr="00367E7B">
        <w:rPr>
          <w:rFonts w:eastAsia="Times New Roman" w:cstheme="minorHAnsi"/>
          <w:lang w:eastAsia="pl-PL"/>
        </w:rPr>
        <w:t>neuroróżnorodnością</w:t>
      </w:r>
      <w:proofErr w:type="spellEnd"/>
      <w:r w:rsidRPr="00367E7B">
        <w:rPr>
          <w:rFonts w:eastAsia="Times New Roman" w:cstheme="minorHAnsi"/>
          <w:lang w:eastAsia="pl-PL"/>
        </w:rPr>
        <w:t>, oraz u których wypadek lub choroba skutkują czasową niezdolnością do pełnego uczestnictwa w zobowiązaniach akademickich.</w:t>
      </w:r>
    </w:p>
    <w:p w14:paraId="4189A865" w14:textId="4FA24689" w:rsidR="00A55F4F" w:rsidRPr="00367E7B" w:rsidRDefault="00A55F4F" w:rsidP="00367E7B">
      <w:pPr>
        <w:pStyle w:val="Akapitzlist"/>
        <w:numPr>
          <w:ilvl w:val="0"/>
          <w:numId w:val="2"/>
        </w:numPr>
        <w:spacing w:before="100" w:beforeAutospacing="1" w:after="120" w:line="276" w:lineRule="auto"/>
        <w:ind w:left="378" w:right="-284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Procedura wsparcia osób realizujących kształcenie w Szkołach Doktorskich wygląda następująco:</w:t>
      </w:r>
    </w:p>
    <w:p w14:paraId="1E348F33" w14:textId="4424D11E" w:rsidR="00A55F4F" w:rsidRPr="00367E7B" w:rsidRDefault="00A55F4F" w:rsidP="00367E7B">
      <w:pPr>
        <w:pStyle w:val="Akapitzlist"/>
        <w:numPr>
          <w:ilvl w:val="0"/>
          <w:numId w:val="4"/>
        </w:numPr>
        <w:spacing w:before="100" w:beforeAutospacing="1" w:after="120" w:line="360" w:lineRule="auto"/>
        <w:ind w:left="378" w:right="-284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Doktorant/</w:t>
      </w:r>
      <w:r w:rsidR="00AF009F" w:rsidRPr="00367E7B">
        <w:rPr>
          <w:rFonts w:eastAsia="Times New Roman" w:cstheme="minorHAnsi"/>
          <w:lang w:eastAsia="pl-PL"/>
        </w:rPr>
        <w:t>d</w:t>
      </w:r>
      <w:r w:rsidRPr="00367E7B">
        <w:rPr>
          <w:rFonts w:eastAsia="Times New Roman" w:cstheme="minorHAnsi"/>
          <w:lang w:eastAsia="pl-PL"/>
        </w:rPr>
        <w:t xml:space="preserve">oktorantka wypełnia formularz rejestracyjny BON dostępny na stronie internetowej bon.uw.edu.pl </w:t>
      </w:r>
      <w:r w:rsidR="00E51557" w:rsidRPr="00367E7B">
        <w:rPr>
          <w:rFonts w:eastAsia="Times New Roman" w:cstheme="minorHAnsi"/>
          <w:lang w:eastAsia="pl-PL"/>
        </w:rPr>
        <w:t>(</w:t>
      </w:r>
      <w:hyperlink r:id="rId8" w:history="1">
        <w:r w:rsidR="00E51557" w:rsidRPr="00367E7B">
          <w:rPr>
            <w:rStyle w:val="Hipercze"/>
            <w:rFonts w:eastAsia="Times New Roman" w:cstheme="minorHAnsi"/>
            <w:lang w:eastAsia="pl-PL"/>
          </w:rPr>
          <w:t>https://bon.uw.edu.pl/wnioski/rejestracja-w-bon/</w:t>
        </w:r>
      </w:hyperlink>
      <w:r w:rsidR="00E51557" w:rsidRPr="00367E7B">
        <w:rPr>
          <w:rFonts w:eastAsia="Times New Roman" w:cstheme="minorHAnsi"/>
          <w:lang w:eastAsia="pl-PL"/>
        </w:rPr>
        <w:t xml:space="preserve">) </w:t>
      </w:r>
      <w:r w:rsidRPr="00367E7B">
        <w:rPr>
          <w:rFonts w:eastAsia="Times New Roman" w:cstheme="minorHAnsi"/>
          <w:lang w:eastAsia="pl-PL"/>
        </w:rPr>
        <w:t>lub w wersji papierowej</w:t>
      </w:r>
      <w:r w:rsidR="00367E7B">
        <w:rPr>
          <w:rFonts w:eastAsia="Times New Roman" w:cstheme="minorHAnsi"/>
          <w:lang w:eastAsia="pl-PL"/>
        </w:rPr>
        <w:br/>
      </w:r>
      <w:r w:rsidRPr="00367E7B">
        <w:rPr>
          <w:rFonts w:eastAsia="Times New Roman" w:cstheme="minorHAnsi"/>
          <w:lang w:eastAsia="pl-PL"/>
        </w:rPr>
        <w:t>w siedzibie BON.</w:t>
      </w:r>
    </w:p>
    <w:p w14:paraId="7033A21C" w14:textId="559AC43A" w:rsidR="00A55F4F" w:rsidRPr="00367E7B" w:rsidRDefault="00A55F4F" w:rsidP="00367E7B">
      <w:pPr>
        <w:pStyle w:val="Akapitzlist"/>
        <w:numPr>
          <w:ilvl w:val="0"/>
          <w:numId w:val="4"/>
        </w:numPr>
        <w:spacing w:before="100" w:beforeAutospacing="1" w:after="120" w:line="360" w:lineRule="auto"/>
        <w:ind w:left="378" w:right="-284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Po zapoznaniu się z informacjami zawartymi w formularzu odpowiednia dla danej Szkoły Doktorskiej Konsultantka proponuje termin konsultacji</w:t>
      </w:r>
      <w:r w:rsidR="004D30B7" w:rsidRPr="00367E7B">
        <w:rPr>
          <w:rFonts w:eastAsia="Times New Roman" w:cstheme="minorHAnsi"/>
          <w:lang w:eastAsia="pl-PL"/>
        </w:rPr>
        <w:t>.</w:t>
      </w:r>
    </w:p>
    <w:p w14:paraId="2D66CA00" w14:textId="4C328694" w:rsidR="004D30B7" w:rsidRPr="00367E7B" w:rsidRDefault="004D30B7" w:rsidP="00367E7B">
      <w:pPr>
        <w:pStyle w:val="Akapitzlist"/>
        <w:numPr>
          <w:ilvl w:val="0"/>
          <w:numId w:val="4"/>
        </w:numPr>
        <w:spacing w:before="100" w:beforeAutospacing="1" w:after="120" w:line="360" w:lineRule="auto"/>
        <w:ind w:left="378" w:right="-284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Konsultacja to rozmowa, która odbywa się stacjonarnie lub zdalnie (z wykorzystaniem możliwości rozmowy video).</w:t>
      </w:r>
    </w:p>
    <w:p w14:paraId="7CF52A80" w14:textId="627047D7" w:rsidR="00A55F4F" w:rsidRPr="00367E7B" w:rsidRDefault="00A55F4F" w:rsidP="00367E7B">
      <w:pPr>
        <w:pStyle w:val="Akapitzlist"/>
        <w:numPr>
          <w:ilvl w:val="0"/>
          <w:numId w:val="4"/>
        </w:numPr>
        <w:spacing w:before="100" w:beforeAutospacing="1" w:after="120" w:line="360" w:lineRule="auto"/>
        <w:ind w:left="378" w:right="-284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 xml:space="preserve">Podczas konsultacji </w:t>
      </w:r>
      <w:r w:rsidR="00AF009F" w:rsidRPr="00367E7B">
        <w:rPr>
          <w:rFonts w:eastAsia="Times New Roman" w:cstheme="minorHAnsi"/>
          <w:lang w:eastAsia="pl-PL"/>
        </w:rPr>
        <w:t>d</w:t>
      </w:r>
      <w:r w:rsidRPr="00367E7B">
        <w:rPr>
          <w:rFonts w:eastAsia="Times New Roman" w:cstheme="minorHAnsi"/>
          <w:lang w:eastAsia="pl-PL"/>
        </w:rPr>
        <w:t>oktorant/</w:t>
      </w:r>
      <w:r w:rsidR="00AF009F" w:rsidRPr="00367E7B">
        <w:rPr>
          <w:rFonts w:eastAsia="Times New Roman" w:cstheme="minorHAnsi"/>
          <w:lang w:eastAsia="pl-PL"/>
        </w:rPr>
        <w:t>d</w:t>
      </w:r>
      <w:r w:rsidRPr="00367E7B">
        <w:rPr>
          <w:rFonts w:eastAsia="Times New Roman" w:cstheme="minorHAnsi"/>
          <w:lang w:eastAsia="pl-PL"/>
        </w:rPr>
        <w:t xml:space="preserve">oktorantka ma możliwość omówienia swojej sytuacji na studiach oraz wpływ stanu zdrowia na realizację procesu kształcenia. Zadaniem Konsultantki jest przedstawienie możliwych rozwiązań wspierających oferowanych na </w:t>
      </w:r>
      <w:r w:rsidR="004D30B7" w:rsidRPr="00367E7B">
        <w:rPr>
          <w:rFonts w:eastAsia="Times New Roman" w:cstheme="minorHAnsi"/>
          <w:lang w:eastAsia="pl-PL"/>
        </w:rPr>
        <w:t>Uniwersytecie</w:t>
      </w:r>
      <w:r w:rsidRPr="00367E7B">
        <w:rPr>
          <w:rFonts w:eastAsia="Times New Roman" w:cstheme="minorHAnsi"/>
          <w:lang w:eastAsia="pl-PL"/>
        </w:rPr>
        <w:t xml:space="preserve"> oraz przedstawienie stosownych działań, które </w:t>
      </w:r>
      <w:r w:rsidR="00AF009F" w:rsidRPr="00367E7B">
        <w:rPr>
          <w:rFonts w:eastAsia="Times New Roman" w:cstheme="minorHAnsi"/>
          <w:lang w:eastAsia="pl-PL"/>
        </w:rPr>
        <w:t>d</w:t>
      </w:r>
      <w:r w:rsidRPr="00367E7B">
        <w:rPr>
          <w:rFonts w:eastAsia="Times New Roman" w:cstheme="minorHAnsi"/>
          <w:lang w:eastAsia="pl-PL"/>
        </w:rPr>
        <w:t>oktorant/</w:t>
      </w:r>
      <w:r w:rsidR="00AF009F" w:rsidRPr="00367E7B">
        <w:rPr>
          <w:rFonts w:eastAsia="Times New Roman" w:cstheme="minorHAnsi"/>
          <w:lang w:eastAsia="pl-PL"/>
        </w:rPr>
        <w:t>d</w:t>
      </w:r>
      <w:r w:rsidRPr="00367E7B">
        <w:rPr>
          <w:rFonts w:eastAsia="Times New Roman" w:cstheme="minorHAnsi"/>
          <w:lang w:eastAsia="pl-PL"/>
        </w:rPr>
        <w:t>oktorantka musi podjąć (wskazanie dalszej ścieżki działań administracyjnych)</w:t>
      </w:r>
      <w:r w:rsidR="004D30B7" w:rsidRPr="00367E7B">
        <w:rPr>
          <w:rFonts w:eastAsia="Times New Roman" w:cstheme="minorHAnsi"/>
          <w:lang w:eastAsia="pl-PL"/>
        </w:rPr>
        <w:t>.</w:t>
      </w:r>
    </w:p>
    <w:p w14:paraId="69F40F5C" w14:textId="53775612" w:rsidR="005B4D56" w:rsidRPr="00367E7B" w:rsidRDefault="00AF009F" w:rsidP="00367E7B">
      <w:pPr>
        <w:pStyle w:val="Akapitzlist"/>
        <w:numPr>
          <w:ilvl w:val="0"/>
          <w:numId w:val="4"/>
        </w:numPr>
        <w:spacing w:before="100" w:beforeAutospacing="1" w:after="120" w:line="360" w:lineRule="auto"/>
        <w:ind w:left="378" w:right="-284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lastRenderedPageBreak/>
        <w:t>Niezbędnym dla działań Konsultantki i możliwości przygotowania rekomendacji BON jest dostarczenie przez doktoranta/doktorantkę dokumentacji medycznej potwierdzającej opisywane trudności. (</w:t>
      </w:r>
      <w:r w:rsidR="00436EB5" w:rsidRPr="00367E7B">
        <w:rPr>
          <w:rFonts w:eastAsia="Times New Roman" w:cstheme="minorHAnsi"/>
          <w:lang w:eastAsia="pl-PL"/>
        </w:rPr>
        <w:t>dostarczona dokumentacja nie może być starsza ni</w:t>
      </w:r>
      <w:r w:rsidR="00EC08FF" w:rsidRPr="00367E7B">
        <w:rPr>
          <w:rFonts w:eastAsia="Times New Roman" w:cstheme="minorHAnsi"/>
          <w:lang w:eastAsia="pl-PL"/>
        </w:rPr>
        <w:t xml:space="preserve">ż </w:t>
      </w:r>
      <w:r w:rsidRPr="00367E7B">
        <w:rPr>
          <w:rFonts w:eastAsia="Times New Roman" w:cstheme="minorHAnsi"/>
          <w:lang w:eastAsia="pl-PL"/>
        </w:rPr>
        <w:t xml:space="preserve">90 dni i zawierać datę, oraz podpis </w:t>
      </w:r>
      <w:r w:rsidR="00367E7B">
        <w:rPr>
          <w:rFonts w:eastAsia="Times New Roman" w:cstheme="minorHAnsi"/>
          <w:lang w:eastAsia="pl-PL"/>
        </w:rPr>
        <w:br/>
      </w:r>
      <w:r w:rsidRPr="00367E7B">
        <w:rPr>
          <w:rFonts w:eastAsia="Times New Roman" w:cstheme="minorHAnsi"/>
          <w:lang w:eastAsia="pl-PL"/>
        </w:rPr>
        <w:t>i pieczątkę służbową specjalisty, który wystawił dokument)</w:t>
      </w:r>
      <w:r w:rsidR="005B4D56" w:rsidRPr="00367E7B">
        <w:rPr>
          <w:rFonts w:eastAsia="Times New Roman" w:cstheme="minorHAnsi"/>
          <w:lang w:eastAsia="pl-PL"/>
        </w:rPr>
        <w:t xml:space="preserve">. </w:t>
      </w:r>
    </w:p>
    <w:p w14:paraId="6514AD39" w14:textId="01800D54" w:rsidR="005B4D56" w:rsidRPr="00367E7B" w:rsidRDefault="005B4D56" w:rsidP="00367E7B">
      <w:pPr>
        <w:pStyle w:val="Akapitzlist"/>
        <w:numPr>
          <w:ilvl w:val="0"/>
          <w:numId w:val="4"/>
        </w:numPr>
        <w:spacing w:before="100" w:beforeAutospacing="1" w:after="120" w:line="360" w:lineRule="auto"/>
        <w:ind w:left="378" w:right="-284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Jeśli dostarczona przez doktoranta/doktorantkę dokumentacja jest niewystarczająca, wówczas Konsultantka ma prawo prosić o</w:t>
      </w:r>
      <w:r w:rsidR="00436EB5" w:rsidRPr="00367E7B">
        <w:rPr>
          <w:rFonts w:eastAsia="Times New Roman" w:cstheme="minorHAnsi"/>
          <w:lang w:eastAsia="pl-PL"/>
        </w:rPr>
        <w:t xml:space="preserve"> jej</w:t>
      </w:r>
      <w:r w:rsidRPr="00367E7B">
        <w:rPr>
          <w:rFonts w:eastAsia="Times New Roman" w:cstheme="minorHAnsi"/>
          <w:lang w:eastAsia="pl-PL"/>
        </w:rPr>
        <w:t xml:space="preserve"> uzupełnienie, w celu przygotowania rekomendacji.</w:t>
      </w:r>
    </w:p>
    <w:p w14:paraId="7A621140" w14:textId="52BFC9BF" w:rsidR="00AF009F" w:rsidRPr="00367E7B" w:rsidRDefault="00AF009F" w:rsidP="00367E7B">
      <w:pPr>
        <w:pStyle w:val="Akapitzlist"/>
        <w:numPr>
          <w:ilvl w:val="0"/>
          <w:numId w:val="4"/>
        </w:numPr>
        <w:spacing w:before="100" w:beforeAutospacing="1" w:after="120" w:line="360" w:lineRule="auto"/>
        <w:ind w:left="378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Procedurę konsultacji kończy złożenie przez doktoranta/doktorantkę wniosku/podania o ustalone rozwiązanie wspierające.</w:t>
      </w:r>
    </w:p>
    <w:p w14:paraId="22AB8DE3" w14:textId="62CB8DC1" w:rsidR="00AF009F" w:rsidRPr="00367E7B" w:rsidRDefault="00AF009F" w:rsidP="00367E7B">
      <w:pPr>
        <w:pStyle w:val="Akapitzlist"/>
        <w:numPr>
          <w:ilvl w:val="0"/>
          <w:numId w:val="4"/>
        </w:numPr>
        <w:spacing w:before="100" w:beforeAutospacing="1" w:after="120" w:line="360" w:lineRule="auto"/>
        <w:ind w:left="378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Po zrealizowaniu wszystkich powyższych punktów BON przesyła rekomendację w sprawie doktoranta/doktorantki do Dyrekcji stosownej Szkoły Doktorskiej.</w:t>
      </w:r>
    </w:p>
    <w:p w14:paraId="7F5F71A9" w14:textId="5A2D10C1" w:rsidR="00AF009F" w:rsidRPr="00367E7B" w:rsidRDefault="0039519E" w:rsidP="00367E7B">
      <w:pPr>
        <w:pStyle w:val="Akapitzlist"/>
        <w:numPr>
          <w:ilvl w:val="0"/>
          <w:numId w:val="2"/>
        </w:numPr>
        <w:spacing w:before="100" w:beforeAutospacing="1" w:after="120" w:line="360" w:lineRule="auto"/>
        <w:ind w:left="378"/>
        <w:jc w:val="both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BON działa w odpowiedzi na zgłoszenie i wniosek/podanie doktoranta/doktorantki.</w:t>
      </w:r>
    </w:p>
    <w:p w14:paraId="3580869F" w14:textId="5FF39C55" w:rsidR="00367E7B" w:rsidRDefault="00367E7B" w:rsidP="00367E7B">
      <w:pPr>
        <w:pStyle w:val="Akapitzlist"/>
        <w:spacing w:before="100" w:beforeAutospacing="1" w:after="120" w:line="360" w:lineRule="auto"/>
        <w:ind w:left="708"/>
        <w:rPr>
          <w:rFonts w:eastAsia="Times New Roman" w:cstheme="minorHAnsi"/>
          <w:lang w:eastAsia="pl-PL"/>
        </w:rPr>
      </w:pPr>
      <w:r w:rsidRPr="00367E7B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6FA8DA6A" wp14:editId="07FA72AE">
            <wp:simplePos x="0" y="0"/>
            <wp:positionH relativeFrom="column">
              <wp:posOffset>-366395</wp:posOffset>
            </wp:positionH>
            <wp:positionV relativeFrom="paragraph">
              <wp:posOffset>393065</wp:posOffset>
            </wp:positionV>
            <wp:extent cx="6623050" cy="3552190"/>
            <wp:effectExtent l="19050" t="19050" r="25400" b="1016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8" t="8065" r="5387" b="6691"/>
                    <a:stretch/>
                  </pic:blipFill>
                  <pic:spPr bwMode="auto">
                    <a:xfrm>
                      <a:off x="0" y="0"/>
                      <a:ext cx="6623050" cy="35521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>
                          <a:lumMod val="95000"/>
                          <a:lumOff val="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09F" w:rsidRPr="00367E7B">
        <w:rPr>
          <w:rFonts w:eastAsia="Times New Roman" w:cstheme="minorHAnsi"/>
          <w:lang w:eastAsia="pl-PL"/>
        </w:rPr>
        <w:t>Ww. procedurę w uproszczonej wersji prezentuje schemat:</w:t>
      </w:r>
    </w:p>
    <w:p w14:paraId="48D0AB0C" w14:textId="17457DB1" w:rsidR="00367E7B" w:rsidRDefault="00367E7B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786E8E46" w14:textId="1429B712" w:rsidR="00072242" w:rsidRPr="00367E7B" w:rsidRDefault="00367E7B" w:rsidP="00072242">
      <w:p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>I</w:t>
      </w:r>
      <w:r w:rsidR="00E51557" w:rsidRPr="00367E7B">
        <w:rPr>
          <w:rFonts w:eastAsia="Times New Roman" w:cstheme="minorHAnsi"/>
          <w:b/>
          <w:lang w:eastAsia="pl-PL"/>
        </w:rPr>
        <w:t xml:space="preserve">NFORMACJE O SPOSOBIE UDZIELANEGO </w:t>
      </w:r>
      <w:r w:rsidR="00351888" w:rsidRPr="00367E7B">
        <w:rPr>
          <w:rFonts w:eastAsia="Times New Roman" w:cstheme="minorHAnsi"/>
          <w:b/>
          <w:lang w:eastAsia="pl-PL"/>
        </w:rPr>
        <w:t>WSPARCIA:</w:t>
      </w:r>
    </w:p>
    <w:p w14:paraId="4553A65C" w14:textId="413F5757" w:rsidR="005B4D56" w:rsidRPr="00367E7B" w:rsidRDefault="005B4D56" w:rsidP="00367E7B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Celem wsparcia jest wyrównywanie szans edukacyjnych doktorantów</w:t>
      </w:r>
      <w:r w:rsidR="00367E7B">
        <w:rPr>
          <w:rFonts w:eastAsia="Times New Roman" w:cstheme="minorHAnsi"/>
          <w:lang w:eastAsia="pl-PL"/>
        </w:rPr>
        <w:t xml:space="preserve">. Udzielone wsparcie nie wiąże się  </w:t>
      </w:r>
      <w:r w:rsidRPr="00367E7B">
        <w:rPr>
          <w:rFonts w:eastAsia="Times New Roman" w:cstheme="minorHAnsi"/>
          <w:lang w:eastAsia="pl-PL"/>
        </w:rPr>
        <w:t>z obniżeniem poziomu merytorycznego danego kursu lub zajęć.</w:t>
      </w:r>
    </w:p>
    <w:p w14:paraId="476DA5D9" w14:textId="63080278" w:rsidR="00351888" w:rsidRPr="00367E7B" w:rsidRDefault="00351888" w:rsidP="00367E7B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Konsultacje odbywają się bez udziału osób trzecich, zapewniona jest poufność w zakresie informacji o stanie zdrowia i przedstawionych diagnozach.</w:t>
      </w:r>
    </w:p>
    <w:p w14:paraId="4806102C" w14:textId="0880E9E9" w:rsidR="00351888" w:rsidRPr="00367E7B" w:rsidRDefault="00351888" w:rsidP="00367E7B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 xml:space="preserve">Dokumentacja medyczna dostarczona przez doktoranta/doktorantkę nie jest przekazywana do Szkoły Doktorskiej. </w:t>
      </w:r>
    </w:p>
    <w:p w14:paraId="549A4B36" w14:textId="60C91388" w:rsidR="00351888" w:rsidRPr="00367E7B" w:rsidRDefault="00351888" w:rsidP="00367E7B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Każda sprawa jest analizowana i rozpatrywana indywidualnie – z uwzględnieniem funkcjonalnych trudności doktoranta/doktorantki oraz specyfiki realizowanych na studiach zajęć.</w:t>
      </w:r>
    </w:p>
    <w:p w14:paraId="1CFF2BB0" w14:textId="199FD77F" w:rsidR="005B4D56" w:rsidRPr="00367E7B" w:rsidRDefault="005B4D56" w:rsidP="00367E7B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Obowiązkiem Konsultantek jest rzetelna i wnikliwa analiza dokumentacji medycznej oraz diagnoza funkcjonalna – wskazująca na zależność stanu zdrowia doktoranta/doktorantki na proces kształcenia.</w:t>
      </w:r>
    </w:p>
    <w:p w14:paraId="024D7843" w14:textId="155458CD" w:rsidR="005B4D56" w:rsidRPr="00367E7B" w:rsidRDefault="00F854FE" w:rsidP="00367E7B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Pr="00F854FE">
        <w:rPr>
          <w:rFonts w:eastAsia="Times New Roman" w:cstheme="minorHAnsi"/>
          <w:lang w:eastAsia="pl-PL"/>
        </w:rPr>
        <w:t xml:space="preserve">W przypadkach niestandardowych lub szczególnie złożonych doktorant/doktorantka może zostać wezwany/a do złożenia wyjaśnień podczas dodatkowej konsultacji </w:t>
      </w:r>
      <w:r>
        <w:rPr>
          <w:rFonts w:eastAsia="Times New Roman" w:cstheme="minorHAnsi"/>
          <w:lang w:eastAsia="pl-PL"/>
        </w:rPr>
        <w:t>lub</w:t>
      </w:r>
      <w:r w:rsidRPr="00F854FE">
        <w:rPr>
          <w:rFonts w:eastAsia="Times New Roman" w:cstheme="minorHAnsi"/>
          <w:lang w:eastAsia="pl-PL"/>
        </w:rPr>
        <w:t xml:space="preserve"> do uzupełnienia dokumentacji medycznej.</w:t>
      </w:r>
    </w:p>
    <w:p w14:paraId="5E7FACCB" w14:textId="02E23C30" w:rsidR="00DC2052" w:rsidRPr="00367E7B" w:rsidRDefault="00DC2052" w:rsidP="00367E7B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 xml:space="preserve">Dokumentację medyczną może stanowić orzeczenie o stopniu niepełnosprawności, </w:t>
      </w:r>
      <w:r w:rsidR="00B841B1" w:rsidRPr="00367E7B">
        <w:rPr>
          <w:rFonts w:eastAsia="Times New Roman" w:cstheme="minorHAnsi"/>
          <w:lang w:eastAsia="pl-PL"/>
        </w:rPr>
        <w:t>zaświadczenia/opinie/formularze od lekarza, lub innego specjalisty</w:t>
      </w:r>
      <w:r w:rsidR="00732C9D" w:rsidRPr="00367E7B">
        <w:rPr>
          <w:rFonts w:eastAsia="Times New Roman" w:cstheme="minorHAnsi"/>
          <w:lang w:eastAsia="pl-PL"/>
        </w:rPr>
        <w:t xml:space="preserve"> (np. psychologa lub psychoterapeuty), zwolnienia lekarskie, epikryzy i wypisy ze szpitala, może to być również kopia karty pacjenta z placówki, w której doktorant podejmuje leczenie. </w:t>
      </w:r>
      <w:r w:rsidR="00367E7B">
        <w:rPr>
          <w:rFonts w:eastAsia="Times New Roman" w:cstheme="minorHAnsi"/>
          <w:lang w:eastAsia="pl-PL"/>
        </w:rPr>
        <w:t>D</w:t>
      </w:r>
      <w:r w:rsidR="004B0BA8" w:rsidRPr="00367E7B">
        <w:rPr>
          <w:rFonts w:eastAsia="Times New Roman" w:cstheme="minorHAnsi"/>
          <w:lang w:eastAsia="pl-PL"/>
        </w:rPr>
        <w:t xml:space="preserve">okumentacja </w:t>
      </w:r>
      <w:r w:rsidR="00367E7B">
        <w:rPr>
          <w:rFonts w:eastAsia="Times New Roman" w:cstheme="minorHAnsi"/>
          <w:lang w:eastAsia="pl-PL"/>
        </w:rPr>
        <w:t xml:space="preserve">powinna </w:t>
      </w:r>
      <w:r w:rsidR="004B0BA8" w:rsidRPr="00367E7B">
        <w:rPr>
          <w:rFonts w:eastAsia="Times New Roman" w:cstheme="minorHAnsi"/>
          <w:lang w:eastAsia="pl-PL"/>
        </w:rPr>
        <w:t>wskazywa</w:t>
      </w:r>
      <w:r w:rsidR="00367E7B">
        <w:rPr>
          <w:rFonts w:eastAsia="Times New Roman" w:cstheme="minorHAnsi"/>
          <w:lang w:eastAsia="pl-PL"/>
        </w:rPr>
        <w:t>ć</w:t>
      </w:r>
      <w:r w:rsidR="004B0BA8" w:rsidRPr="00367E7B">
        <w:rPr>
          <w:rFonts w:eastAsia="Times New Roman" w:cstheme="minorHAnsi"/>
          <w:lang w:eastAsia="pl-PL"/>
        </w:rPr>
        <w:t xml:space="preserve"> na funkcjonalny aspekt trudności i wpływ na realizację zobowiązań akademickich.</w:t>
      </w:r>
    </w:p>
    <w:p w14:paraId="47C60568" w14:textId="12CB4E2A" w:rsidR="00EC1BA6" w:rsidRPr="00367E7B" w:rsidRDefault="00EC1BA6" w:rsidP="00367E7B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Dokumentacja medyczna musi być w języku polskim lub angielskim.</w:t>
      </w:r>
    </w:p>
    <w:p w14:paraId="638E8927" w14:textId="2FE4D0F5" w:rsidR="004B0BA8" w:rsidRPr="00367E7B" w:rsidRDefault="004B0BA8" w:rsidP="00367E7B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Wszystkie opiniowane rozwiązania muszą być zgodne z regulacjami prawnymi obowiązującymi na UW (Regulamin Szkół Doktorskich).</w:t>
      </w:r>
    </w:p>
    <w:p w14:paraId="1A8E1C23" w14:textId="72308E30" w:rsidR="004B0BA8" w:rsidRPr="00367E7B" w:rsidRDefault="004B0BA8" w:rsidP="00367E7B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 xml:space="preserve">Rolą BON jest opiniowanie podań doktorantów i doktorantek o przyznanie indywidualnego trybu kształcenia oraz czasowego zawieszenia kształcenia w Szkole Doktorskiej. Osobą wydającą zgodę jest Dyrektor adekwatnej Szkoły Doktorskiej, na podstawie opinii BON. Decyzja Dyrektora Szkoły Doktorskiej uwzględnia rekomendacje BON, ale nie musi być z nią tożsama. </w:t>
      </w:r>
    </w:p>
    <w:p w14:paraId="30943968" w14:textId="5EEB4154" w:rsidR="00367E7B" w:rsidRDefault="00367E7B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112D903" w14:textId="4C7D3DFE" w:rsidR="00AB304C" w:rsidRPr="00367E7B" w:rsidRDefault="00722546">
      <w:pPr>
        <w:rPr>
          <w:rFonts w:eastAsia="Times New Roman" w:cstheme="minorHAnsi"/>
          <w:b/>
          <w:lang w:eastAsia="pl-PL"/>
        </w:rPr>
      </w:pPr>
      <w:r w:rsidRPr="00367E7B">
        <w:rPr>
          <w:rFonts w:eastAsia="Times New Roman" w:cstheme="minorHAnsi"/>
          <w:b/>
          <w:lang w:eastAsia="pl-PL"/>
        </w:rPr>
        <w:lastRenderedPageBreak/>
        <w:t>REGULACJE PRAWNE:</w:t>
      </w:r>
    </w:p>
    <w:p w14:paraId="045EAAF3" w14:textId="2DEE5CC9" w:rsidR="00722546" w:rsidRPr="00367E7B" w:rsidRDefault="00722546" w:rsidP="007225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Ustawa Prawo o szkolnictwie wyższym i nauce (</w:t>
      </w:r>
      <w:r w:rsidRPr="00367E7B">
        <w:rPr>
          <w:rFonts w:eastAsia="Times New Roman" w:cstheme="minorHAnsi"/>
          <w:i/>
          <w:lang w:eastAsia="pl-PL"/>
        </w:rPr>
        <w:t xml:space="preserve">Ustawa z dnia 20 lipca 2018 r. Prawo o szkolnictwie wyższym i nauce)  </w:t>
      </w:r>
      <w:r w:rsidR="00E176D7" w:rsidRPr="00367E7B">
        <w:rPr>
          <w:rFonts w:eastAsia="Times New Roman" w:cstheme="minorHAnsi"/>
          <w:i/>
          <w:lang w:eastAsia="pl-PL"/>
        </w:rPr>
        <w:br/>
      </w:r>
      <w:hyperlink r:id="rId10" w:history="1">
        <w:r w:rsidR="00E176D7" w:rsidRPr="00367E7B">
          <w:rPr>
            <w:rStyle w:val="Hipercze"/>
            <w:rFonts w:eastAsia="Times New Roman" w:cstheme="minorHAnsi"/>
            <w:lang w:eastAsia="pl-PL"/>
          </w:rPr>
          <w:t>https://isap.sejm.gov.pl/isap.nsf/download.xsp/WDU20180001668/U/D20181668Lj.pdf</w:t>
        </w:r>
      </w:hyperlink>
      <w:r w:rsidR="00E176D7" w:rsidRPr="00367E7B">
        <w:rPr>
          <w:rFonts w:eastAsia="Times New Roman" w:cstheme="minorHAnsi"/>
          <w:b/>
          <w:i/>
          <w:lang w:eastAsia="pl-PL"/>
        </w:rPr>
        <w:t xml:space="preserve"> </w:t>
      </w:r>
      <w:r w:rsidRPr="00367E7B">
        <w:rPr>
          <w:rFonts w:eastAsia="Times New Roman" w:cstheme="minorHAnsi"/>
          <w:b/>
          <w:i/>
          <w:lang w:eastAsia="pl-PL"/>
        </w:rPr>
        <w:br/>
      </w:r>
    </w:p>
    <w:p w14:paraId="6943C5BE" w14:textId="62940F52" w:rsidR="00722546" w:rsidRPr="00367E7B" w:rsidRDefault="00722546" w:rsidP="007922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 xml:space="preserve">ZARZĄDZENIE NR 111 REKTORA UNIWERSYTETU WARSZAWSKIEGO z dnia 9 października 2024 r. w sprawie zapewnienia dostępności osobom ze szczególnymi potrzebami na Uniwersytecie Warszawskim </w:t>
      </w:r>
      <w:hyperlink r:id="rId11" w:history="1">
        <w:r w:rsidRPr="00367E7B">
          <w:rPr>
            <w:rStyle w:val="Hipercze"/>
            <w:rFonts w:eastAsia="Times New Roman" w:cstheme="minorHAnsi"/>
            <w:lang w:eastAsia="pl-PL"/>
          </w:rPr>
          <w:t>https://monitor.uw.edu.pl/Lists/Uchway/Attachments/7115/M.2024.297.Zarz.111.pdf</w:t>
        </w:r>
      </w:hyperlink>
      <w:r w:rsidRPr="00367E7B">
        <w:rPr>
          <w:rFonts w:eastAsia="Times New Roman" w:cstheme="minorHAnsi"/>
          <w:lang w:eastAsia="pl-PL"/>
        </w:rPr>
        <w:t xml:space="preserve">  </w:t>
      </w:r>
      <w:r w:rsidRPr="00367E7B">
        <w:rPr>
          <w:rFonts w:eastAsia="Times New Roman" w:cstheme="minorHAnsi"/>
          <w:lang w:eastAsia="pl-PL"/>
        </w:rPr>
        <w:br/>
      </w:r>
    </w:p>
    <w:p w14:paraId="386B62C5" w14:textId="2BD24E69" w:rsidR="00E176D7" w:rsidRPr="00367E7B" w:rsidRDefault="00722546" w:rsidP="004912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ZARZĄDZENIE NR 170 REKTORA UNIWERSYTETU WARSZAWSKIEGO z dnia 13 sierpnia 2020 r. w sprawie form wsparcia dla studentów i doktorantów z niepełnosprawnościami lub chorobami przewlekłymi na Uniwersytecie Warszawskim</w:t>
      </w:r>
      <w:r w:rsidRPr="00367E7B">
        <w:rPr>
          <w:rFonts w:eastAsia="Times New Roman" w:cstheme="minorHAnsi"/>
          <w:lang w:eastAsia="pl-PL"/>
        </w:rPr>
        <w:br/>
      </w:r>
      <w:hyperlink r:id="rId12" w:history="1">
        <w:r w:rsidRPr="00367E7B">
          <w:rPr>
            <w:rStyle w:val="Hipercze"/>
            <w:rFonts w:eastAsia="Times New Roman" w:cstheme="minorHAnsi"/>
            <w:lang w:eastAsia="pl-PL"/>
          </w:rPr>
          <w:t>https://monitor.uw.edu.pl/Lists/Uchway/Attachments/5548/M.2020.345.Zarz.170.pdf</w:t>
        </w:r>
      </w:hyperlink>
      <w:r w:rsidR="00E176D7" w:rsidRPr="00367E7B">
        <w:rPr>
          <w:rFonts w:eastAsia="Times New Roman" w:cstheme="minorHAnsi"/>
          <w:lang w:eastAsia="pl-PL"/>
        </w:rPr>
        <w:t xml:space="preserve"> </w:t>
      </w:r>
      <w:r w:rsidR="00E176D7" w:rsidRPr="00367E7B">
        <w:rPr>
          <w:rFonts w:eastAsia="Times New Roman" w:cstheme="minorHAnsi"/>
          <w:lang w:eastAsia="pl-PL"/>
        </w:rPr>
        <w:br/>
      </w:r>
    </w:p>
    <w:p w14:paraId="1AEE7B52" w14:textId="68E10E26" w:rsidR="00722546" w:rsidRPr="00367E7B" w:rsidRDefault="00E176D7" w:rsidP="004912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pl-PL"/>
        </w:rPr>
      </w:pPr>
      <w:r w:rsidRPr="00367E7B">
        <w:rPr>
          <w:rFonts w:eastAsia="Times New Roman" w:cstheme="minorHAnsi"/>
          <w:lang w:eastAsia="pl-PL"/>
        </w:rPr>
        <w:t>O</w:t>
      </w:r>
      <w:r w:rsidR="00722546" w:rsidRPr="00367E7B">
        <w:rPr>
          <w:rFonts w:eastAsia="Times New Roman" w:cstheme="minorHAnsi"/>
          <w:lang w:eastAsia="pl-PL"/>
        </w:rPr>
        <w:t>BWIESZCZENIE NR 16 REKTORA UNIWERSYTETU WARSZAWSKIEGO z dnia 30 lipca 2021 r. o ogłoszeniu tekstu jednolitego uchwały nr 444 Senatu Uniwersytetu Warszawskiego z dnia 26 czerwca 2019 r. w sprawie uchwalenia Regulaminów szkół doktorskich na Uniwersytecie Warszawskim</w:t>
      </w:r>
      <w:r w:rsidRPr="00367E7B">
        <w:rPr>
          <w:rFonts w:eastAsia="Times New Roman" w:cstheme="minorHAnsi"/>
          <w:lang w:eastAsia="pl-PL"/>
        </w:rPr>
        <w:br/>
      </w:r>
      <w:hyperlink r:id="rId13" w:history="1">
        <w:r w:rsidRPr="00367E7B">
          <w:rPr>
            <w:rStyle w:val="Hipercze"/>
            <w:rFonts w:eastAsia="Times New Roman" w:cstheme="minorHAnsi"/>
            <w:lang w:eastAsia="pl-PL"/>
          </w:rPr>
          <w:t>https://monitor.uw.edu.pl/Lists/Uchway/Attachments/5976/M.2021.213.Obw.16.pdf</w:t>
        </w:r>
      </w:hyperlink>
      <w:r w:rsidRPr="00367E7B">
        <w:rPr>
          <w:rFonts w:eastAsia="Times New Roman" w:cstheme="minorHAnsi"/>
          <w:lang w:eastAsia="pl-PL"/>
        </w:rPr>
        <w:t xml:space="preserve"> </w:t>
      </w:r>
    </w:p>
    <w:p w14:paraId="60013473" w14:textId="77777777" w:rsidR="00436EB5" w:rsidRPr="00367E7B" w:rsidRDefault="00436EB5" w:rsidP="00404560">
      <w:pPr>
        <w:rPr>
          <w:rFonts w:cstheme="minorHAnsi"/>
          <w:b/>
        </w:rPr>
      </w:pPr>
    </w:p>
    <w:p w14:paraId="46597E02" w14:textId="5ACC05A3" w:rsidR="00404560" w:rsidRPr="00367E7B" w:rsidRDefault="00404560" w:rsidP="00404560">
      <w:pPr>
        <w:rPr>
          <w:rFonts w:cstheme="minorHAnsi"/>
          <w:b/>
        </w:rPr>
      </w:pPr>
      <w:r w:rsidRPr="00367E7B">
        <w:rPr>
          <w:rFonts w:cstheme="minorHAnsi"/>
          <w:b/>
        </w:rPr>
        <w:t>Konsultantki ds. doktoranckich i dostępności badań</w:t>
      </w:r>
    </w:p>
    <w:p w14:paraId="3355C2A9" w14:textId="77777777" w:rsidR="00404560" w:rsidRPr="00367E7B" w:rsidRDefault="00404560" w:rsidP="00404560">
      <w:pPr>
        <w:rPr>
          <w:rFonts w:cstheme="minorHAnsi"/>
        </w:rPr>
      </w:pPr>
      <w:r w:rsidRPr="00367E7B">
        <w:rPr>
          <w:rFonts w:cstheme="minorHAnsi"/>
        </w:rPr>
        <w:t xml:space="preserve">Szkoła Doktorska Nauk Humanistycznych, Szkoła Doktorska Nauk Społecznych </w:t>
      </w:r>
    </w:p>
    <w:p w14:paraId="7C198B0F" w14:textId="77777777" w:rsidR="00404560" w:rsidRPr="00367E7B" w:rsidRDefault="00404560" w:rsidP="00404560">
      <w:pPr>
        <w:rPr>
          <w:rFonts w:cstheme="minorHAnsi"/>
        </w:rPr>
      </w:pPr>
      <w:r w:rsidRPr="00367E7B">
        <w:rPr>
          <w:rFonts w:cstheme="minorHAnsi"/>
        </w:rPr>
        <w:t xml:space="preserve">Aleksandra Rosochacka </w:t>
      </w:r>
    </w:p>
    <w:p w14:paraId="7AF8AB18" w14:textId="77777777" w:rsidR="00404560" w:rsidRPr="00367E7B" w:rsidRDefault="00F854FE" w:rsidP="00404560">
      <w:pPr>
        <w:rPr>
          <w:rFonts w:cstheme="minorHAnsi"/>
        </w:rPr>
      </w:pPr>
      <w:hyperlink r:id="rId14" w:history="1">
        <w:r w:rsidR="00404560" w:rsidRPr="00367E7B">
          <w:rPr>
            <w:rFonts w:cstheme="minorHAnsi"/>
            <w:color w:val="0563C1" w:themeColor="hyperlink"/>
            <w:u w:val="single"/>
          </w:rPr>
          <w:t>aj.rosochacka@uw.edu.pl</w:t>
        </w:r>
      </w:hyperlink>
    </w:p>
    <w:p w14:paraId="30C8A03F" w14:textId="77777777" w:rsidR="00404560" w:rsidRPr="00367E7B" w:rsidRDefault="00404560" w:rsidP="00404560">
      <w:pPr>
        <w:rPr>
          <w:rFonts w:cstheme="minorHAnsi"/>
        </w:rPr>
      </w:pPr>
    </w:p>
    <w:p w14:paraId="1BB8535A" w14:textId="77777777" w:rsidR="00404560" w:rsidRPr="00367E7B" w:rsidRDefault="00404560" w:rsidP="00404560">
      <w:pPr>
        <w:rPr>
          <w:rFonts w:cstheme="minorHAnsi"/>
        </w:rPr>
      </w:pPr>
      <w:r w:rsidRPr="00367E7B">
        <w:rPr>
          <w:rFonts w:cstheme="minorHAnsi"/>
        </w:rPr>
        <w:t xml:space="preserve">Szkoła Doktorska Nauk Ścisłych i Przyrodniczych, Międzydziedzinowa Szkoła Doktorska </w:t>
      </w:r>
    </w:p>
    <w:p w14:paraId="09625B98" w14:textId="77777777" w:rsidR="00404560" w:rsidRPr="00367E7B" w:rsidRDefault="00404560" w:rsidP="00404560">
      <w:pPr>
        <w:rPr>
          <w:rFonts w:cstheme="minorHAnsi"/>
        </w:rPr>
      </w:pPr>
      <w:r w:rsidRPr="00367E7B">
        <w:rPr>
          <w:rFonts w:cstheme="minorHAnsi"/>
        </w:rPr>
        <w:t>Dorota Malicka</w:t>
      </w:r>
    </w:p>
    <w:p w14:paraId="1D609D07" w14:textId="77777777" w:rsidR="00404560" w:rsidRPr="00367E7B" w:rsidRDefault="00F854FE" w:rsidP="00404560">
      <w:pPr>
        <w:rPr>
          <w:rFonts w:cstheme="minorHAnsi"/>
        </w:rPr>
      </w:pPr>
      <w:hyperlink r:id="rId15" w:history="1">
        <w:r w:rsidR="00404560" w:rsidRPr="00367E7B">
          <w:rPr>
            <w:rFonts w:cstheme="minorHAnsi"/>
            <w:color w:val="0563C1" w:themeColor="hyperlink"/>
            <w:u w:val="single"/>
          </w:rPr>
          <w:t>d.malicka@uw.edu.pl</w:t>
        </w:r>
      </w:hyperlink>
      <w:r w:rsidR="00404560" w:rsidRPr="00367E7B">
        <w:rPr>
          <w:rFonts w:cstheme="minorHAnsi"/>
        </w:rPr>
        <w:t xml:space="preserve"> </w:t>
      </w:r>
    </w:p>
    <w:p w14:paraId="1E74E1F9" w14:textId="77777777" w:rsidR="00404560" w:rsidRPr="00367E7B" w:rsidRDefault="00404560" w:rsidP="00404560">
      <w:pPr>
        <w:rPr>
          <w:rFonts w:cstheme="minorHAnsi"/>
        </w:rPr>
      </w:pPr>
    </w:p>
    <w:p w14:paraId="186C8D1E" w14:textId="77777777" w:rsidR="004D381F" w:rsidRPr="00367E7B" w:rsidRDefault="004D381F">
      <w:pPr>
        <w:rPr>
          <w:rFonts w:cstheme="minorHAnsi"/>
        </w:rPr>
      </w:pPr>
    </w:p>
    <w:sectPr w:rsidR="004D381F" w:rsidRPr="00367E7B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6FCA" w14:textId="77777777" w:rsidR="00670C96" w:rsidRDefault="00670C96" w:rsidP="008040D5">
      <w:pPr>
        <w:spacing w:after="0" w:line="240" w:lineRule="auto"/>
      </w:pPr>
      <w:r>
        <w:separator/>
      </w:r>
    </w:p>
  </w:endnote>
  <w:endnote w:type="continuationSeparator" w:id="0">
    <w:p w14:paraId="1BA41520" w14:textId="77777777" w:rsidR="00670C96" w:rsidRDefault="00670C96" w:rsidP="0080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DEC6" w14:textId="5C311397" w:rsidR="008040D5" w:rsidRPr="008040D5" w:rsidRDefault="008040D5" w:rsidP="008040D5">
    <w:pPr>
      <w:pStyle w:val="NormalnyWeb"/>
      <w:rPr>
        <w:noProof/>
      </w:rPr>
    </w:pPr>
  </w:p>
  <w:p w14:paraId="2BFCE9A8" w14:textId="2051E69E" w:rsidR="008040D5" w:rsidRDefault="008040D5" w:rsidP="008040D5">
    <w:pPr>
      <w:pStyle w:val="NormalnyWeb"/>
      <w:jc w:val="center"/>
    </w:pPr>
  </w:p>
  <w:p w14:paraId="09C1699C" w14:textId="4AA7AA0A" w:rsidR="008040D5" w:rsidRDefault="008040D5">
    <w:pPr>
      <w:pStyle w:val="Stopka"/>
    </w:pPr>
  </w:p>
  <w:p w14:paraId="3A3D0BB1" w14:textId="77777777" w:rsidR="008040D5" w:rsidRDefault="008040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EB94" w14:textId="77777777" w:rsidR="00670C96" w:rsidRDefault="00670C96" w:rsidP="008040D5">
      <w:pPr>
        <w:spacing w:after="0" w:line="240" w:lineRule="auto"/>
      </w:pPr>
      <w:r>
        <w:separator/>
      </w:r>
    </w:p>
  </w:footnote>
  <w:footnote w:type="continuationSeparator" w:id="0">
    <w:p w14:paraId="5C6BA089" w14:textId="77777777" w:rsidR="00670C96" w:rsidRDefault="00670C96" w:rsidP="0080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4E83" w14:textId="64D46A1B" w:rsidR="00436EB5" w:rsidRDefault="00436EB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F77AC1" wp14:editId="1C559AC8">
          <wp:simplePos x="0" y="0"/>
          <wp:positionH relativeFrom="column">
            <wp:posOffset>-108585</wp:posOffset>
          </wp:positionH>
          <wp:positionV relativeFrom="paragraph">
            <wp:posOffset>-295910</wp:posOffset>
          </wp:positionV>
          <wp:extent cx="6290310" cy="628617"/>
          <wp:effectExtent l="0" t="0" r="0" b="0"/>
          <wp:wrapNone/>
          <wp:docPr id="3" name="Obraz 3" descr="C:\Users\ola\AppData\Local\Temp\pid-8632\URS-UE-baner-z-logami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la\AppData\Local\Temp\pid-8632\URS-UE-baner-z-logami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10" cy="628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EAD"/>
    <w:multiLevelType w:val="hybridMultilevel"/>
    <w:tmpl w:val="F8E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4302"/>
    <w:multiLevelType w:val="hybridMultilevel"/>
    <w:tmpl w:val="C21C5F5A"/>
    <w:lvl w:ilvl="0" w:tplc="108414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8097749"/>
    <w:multiLevelType w:val="multilevel"/>
    <w:tmpl w:val="F87672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116"/>
    <w:multiLevelType w:val="hybridMultilevel"/>
    <w:tmpl w:val="92426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3A8E"/>
    <w:multiLevelType w:val="hybridMultilevel"/>
    <w:tmpl w:val="0D4EB7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21657"/>
    <w:multiLevelType w:val="hybridMultilevel"/>
    <w:tmpl w:val="60C837E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AF21FE"/>
    <w:multiLevelType w:val="hybridMultilevel"/>
    <w:tmpl w:val="75DE4B18"/>
    <w:lvl w:ilvl="0" w:tplc="042EB53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AE71798"/>
    <w:multiLevelType w:val="multilevel"/>
    <w:tmpl w:val="9D8C9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5C56B0"/>
    <w:multiLevelType w:val="multilevel"/>
    <w:tmpl w:val="A7C2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82765F"/>
    <w:multiLevelType w:val="hybridMultilevel"/>
    <w:tmpl w:val="CDE46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65"/>
    <w:rsid w:val="000630DF"/>
    <w:rsid w:val="00065F65"/>
    <w:rsid w:val="00072242"/>
    <w:rsid w:val="000F5F98"/>
    <w:rsid w:val="002251ED"/>
    <w:rsid w:val="00351888"/>
    <w:rsid w:val="00367E7B"/>
    <w:rsid w:val="0039519E"/>
    <w:rsid w:val="0040073C"/>
    <w:rsid w:val="00404560"/>
    <w:rsid w:val="00436EB5"/>
    <w:rsid w:val="00445460"/>
    <w:rsid w:val="004B0BA8"/>
    <w:rsid w:val="004D30B7"/>
    <w:rsid w:val="004D381F"/>
    <w:rsid w:val="00502624"/>
    <w:rsid w:val="005B4D56"/>
    <w:rsid w:val="00670C96"/>
    <w:rsid w:val="00722546"/>
    <w:rsid w:val="00732C9D"/>
    <w:rsid w:val="007B2EF8"/>
    <w:rsid w:val="008040D5"/>
    <w:rsid w:val="00A55F4F"/>
    <w:rsid w:val="00AB304C"/>
    <w:rsid w:val="00AF009F"/>
    <w:rsid w:val="00B05BCC"/>
    <w:rsid w:val="00B841B1"/>
    <w:rsid w:val="00C43BBD"/>
    <w:rsid w:val="00CF0E93"/>
    <w:rsid w:val="00DC2052"/>
    <w:rsid w:val="00E176D7"/>
    <w:rsid w:val="00E3182D"/>
    <w:rsid w:val="00E51557"/>
    <w:rsid w:val="00E932F3"/>
    <w:rsid w:val="00EC08FF"/>
    <w:rsid w:val="00EC1BA6"/>
    <w:rsid w:val="00EC6410"/>
    <w:rsid w:val="00F01179"/>
    <w:rsid w:val="00F203D6"/>
    <w:rsid w:val="00F8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4B3FF6"/>
  <w15:chartTrackingRefBased/>
  <w15:docId w15:val="{CB716E2D-0469-4F4F-B61B-A17C25EB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225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0D5"/>
  </w:style>
  <w:style w:type="paragraph" w:styleId="Stopka">
    <w:name w:val="footer"/>
    <w:basedOn w:val="Normalny"/>
    <w:link w:val="StopkaZnak"/>
    <w:uiPriority w:val="99"/>
    <w:unhideWhenUsed/>
    <w:rsid w:val="0080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0D5"/>
  </w:style>
  <w:style w:type="paragraph" w:styleId="Akapitzlist">
    <w:name w:val="List Paragraph"/>
    <w:basedOn w:val="Normalny"/>
    <w:uiPriority w:val="34"/>
    <w:qFormat/>
    <w:rsid w:val="00072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45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456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225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E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E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E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.uw.edu.pl/wnioski/rejestracja-w-bon/" TargetMode="External"/><Relationship Id="rId13" Type="http://schemas.openxmlformats.org/officeDocument/2006/relationships/hyperlink" Target="https://monitor.uw.edu.pl/Lists/Uchway/Attachments/5976/M.2021.213.Obw.16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nitor.uw.edu.pl/Lists/Uchway/Attachments/5548/M.2020.345.Zarz.170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itor.uw.edu.pl/Lists/Uchway/Attachments/7115/M.2024.297.Zarz.11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.malicka@uw.edu.pl" TargetMode="External"/><Relationship Id="rId10" Type="http://schemas.openxmlformats.org/officeDocument/2006/relationships/hyperlink" Target="https://isap.sejm.gov.pl/isap.nsf/download.xsp/WDU20180001668/U/D20181668Lj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aj.rosochacka@u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A027C-B3EA-4F12-AB88-E16E0BF2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6327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Rosochacka</dc:creator>
  <cp:keywords/>
  <dc:description/>
  <cp:lastModifiedBy>Edyta Król</cp:lastModifiedBy>
  <cp:revision>2</cp:revision>
  <dcterms:created xsi:type="dcterms:W3CDTF">2025-09-18T10:57:00Z</dcterms:created>
  <dcterms:modified xsi:type="dcterms:W3CDTF">2025-09-18T10:57:00Z</dcterms:modified>
</cp:coreProperties>
</file>